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</w:p>
    <w:p>
      <w:pPr>
        <w:pStyle w:val="2"/>
        <w:ind w:firstLine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年度技术合同认定登记工作总结</w:t>
      </w:r>
    </w:p>
    <w:bookmarkEnd w:id="0"/>
    <w:p>
      <w:pPr>
        <w:pStyle w:val="2"/>
        <w:jc w:val="center"/>
        <w:rPr>
          <w:rFonts w:hint="eastAsia" w:eastAsia="方正仿宋_GBK" w:cs="Times New Roman"/>
          <w:color w:val="auto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lang w:eastAsia="zh-CN"/>
        </w:rPr>
        <w:t>（登记站用模版）</w:t>
      </w:r>
    </w:p>
    <w:p>
      <w:pPr>
        <w:pStyle w:val="2"/>
        <w:rPr>
          <w:rFonts w:hint="eastAsia" w:eastAsia="方正仿宋_GBK" w:cs="Times New Roman"/>
          <w:color w:val="auto"/>
          <w:szCs w:val="32"/>
          <w:lang w:eastAsia="zh-CN"/>
        </w:rPr>
      </w:pPr>
    </w:p>
    <w:p>
      <w:pPr>
        <w:pStyle w:val="2"/>
        <w:numPr>
          <w:ilvl w:val="0"/>
          <w:numId w:val="1"/>
        </w:numPr>
        <w:rPr>
          <w:rFonts w:hint="eastAsia" w:eastAsia="方正仿宋_GBK" w:cs="Times New Roman"/>
          <w:color w:val="auto"/>
          <w:szCs w:val="32"/>
          <w:lang w:eastAsia="zh-CN"/>
        </w:rPr>
      </w:pPr>
      <w:r>
        <w:rPr>
          <w:rFonts w:hint="eastAsia" w:eastAsia="方正仿宋_GBK" w:cs="Times New Roman"/>
          <w:color w:val="auto"/>
          <w:szCs w:val="32"/>
          <w:lang w:eastAsia="zh-CN"/>
        </w:rPr>
        <w:t>技术合同认定登记工作整体情况</w:t>
      </w:r>
    </w:p>
    <w:p>
      <w:pPr>
        <w:pStyle w:val="2"/>
        <w:numPr>
          <w:ilvl w:val="0"/>
          <w:numId w:val="1"/>
        </w:numPr>
        <w:rPr>
          <w:rFonts w:hint="default" w:eastAsia="方正仿宋_GBK" w:cs="Times New Roman"/>
          <w:color w:val="auto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Cs w:val="32"/>
          <w:lang w:val="en-US" w:eastAsia="zh-CN"/>
        </w:rPr>
        <w:t>政策制定与落实情况</w:t>
      </w:r>
    </w:p>
    <w:p>
      <w:pPr>
        <w:pStyle w:val="2"/>
        <w:widowControl w:val="0"/>
        <w:numPr>
          <w:ilvl w:val="0"/>
          <w:numId w:val="0"/>
        </w:numPr>
        <w:ind w:firstLine="640"/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Cs w:val="32"/>
          <w:lang w:val="en-US" w:eastAsia="zh-CN"/>
        </w:rPr>
        <w:t>（本年度制定的技术合同认定登记主要政策、改革举措及亮点，本年度制定政策文件请附后）</w:t>
      </w:r>
    </w:p>
    <w:p>
      <w:pPr>
        <w:pStyle w:val="2"/>
        <w:widowControl w:val="0"/>
        <w:numPr>
          <w:ilvl w:val="0"/>
          <w:numId w:val="1"/>
        </w:numPr>
        <w:ind w:left="0" w:leftChars="0" w:firstLine="630" w:firstLineChars="0"/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Cs w:val="32"/>
          <w:lang w:val="en-US" w:eastAsia="zh-CN"/>
        </w:rPr>
        <w:t>主要经验做法</w:t>
      </w:r>
    </w:p>
    <w:p>
      <w:pPr>
        <w:pStyle w:val="2"/>
        <w:widowControl w:val="0"/>
        <w:numPr>
          <w:ilvl w:val="0"/>
          <w:numId w:val="1"/>
        </w:numPr>
        <w:ind w:left="0" w:leftChars="0" w:firstLine="630" w:firstLineChars="0"/>
        <w:jc w:val="both"/>
        <w:rPr>
          <w:rFonts w:hint="default" w:eastAsia="方正仿宋_GBK" w:cs="Times New Roman"/>
          <w:color w:val="auto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Cs w:val="32"/>
          <w:lang w:val="en-US" w:eastAsia="zh-CN"/>
        </w:rPr>
        <w:t>存在问题与工作建议</w:t>
      </w:r>
    </w:p>
    <w:p>
      <w:pPr>
        <w:pStyle w:val="2"/>
        <w:widowControl w:val="0"/>
        <w:numPr>
          <w:ilvl w:val="0"/>
          <w:numId w:val="1"/>
        </w:numPr>
        <w:ind w:left="0" w:leftChars="0" w:firstLine="630" w:firstLineChars="0"/>
        <w:jc w:val="both"/>
        <w:rPr>
          <w:rFonts w:hint="default" w:eastAsia="方正仿宋_GBK" w:cs="Times New Roman"/>
          <w:color w:val="auto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Cs w:val="32"/>
          <w:lang w:val="en-US" w:eastAsia="zh-CN"/>
        </w:rPr>
        <w:t>下一步工作考虑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eastAsia="方正仿宋_GBK" w:cs="Times New Roman"/>
          <w:color w:val="auto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8381"/>
    <w:multiLevelType w:val="singleLevel"/>
    <w:tmpl w:val="47ED83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A4E38"/>
    <w:rsid w:val="224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rFonts w:ascii="Times New Roman" w:hAnsi="Times New Roman"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2023-02-13T02:56:00Z</dcterms:created>
  <dc:creator>vivi</dc:creator>
  <cp:lastModifiedBy>vivi</cp:lastModifiedBy>
  <dcterms:modified xsi:type="dcterms:W3CDTF">2023-02-13T02:57:53Z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